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-250-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rStyle w:val="cat-UserDefinedgrp-2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30.09.2024</w:t>
      </w:r>
      <w:r>
        <w:rPr>
          <w:rFonts w:ascii="Times New Roman" w:eastAsia="Times New Roman" w:hAnsi="Times New Roman" w:cs="Times New Roman"/>
          <w:sz w:val="26"/>
          <w:szCs w:val="26"/>
        </w:rPr>
        <w:t>, врученно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>
        <w:rPr>
          <w:rFonts w:ascii="Times New Roman" w:eastAsia="Times New Roman" w:hAnsi="Times New Roman" w:cs="Times New Roman"/>
          <w:sz w:val="26"/>
          <w:szCs w:val="26"/>
        </w:rPr>
        <w:t>, до настоящего времени штраф не оплачен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Инвалидом 1 и 2 группы не является.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2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получено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ГИС ГМП, согласно которым штраф по постановлению №</w:t>
      </w:r>
      <w:r>
        <w:rPr>
          <w:rStyle w:val="cat-UserDefinedgrp-27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систематически не исполняет обязанности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оплате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доставлен в дежурную часть УМВД ОМВД по Нефтеюганскому району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Сведения об оплате штрафа в материалах дела отсутствуют.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инистративных правонарушениях, а именно: н</w:t>
      </w:r>
      <w:r>
        <w:rPr>
          <w:rFonts w:ascii="Times New Roman" w:eastAsia="Times New Roman" w:hAnsi="Times New Roman" w:cs="Times New Roman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имущественное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положения ст. 3.1, ч. 2 ст. 4.1 Кодекса Российской Федерации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наказания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 ч. 1 ст. 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которое будет его дисциплинировать и предупредит совершение им новых административных правонарушений.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Минуллаев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23.1, 29.9, 29.10, 30.1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Минуллаева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Мансуржона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Муроджон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угли</w:t>
      </w:r>
      <w:r>
        <w:rPr>
          <w:rFonts w:ascii="Times New Roman" w:eastAsia="Times New Roman" w:hAnsi="Times New Roman" w:cs="Times New Roman"/>
          <w:sz w:val="26"/>
          <w:szCs w:val="26"/>
        </w:rPr>
        <w:t>, 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30rplc-53">
    <w:name w:val="cat-UserDefined grp-30 rplc-53"/>
    <w:basedOn w:val="DefaultParagraphFont"/>
  </w:style>
  <w:style w:type="character" w:customStyle="1" w:styleId="cat-UserDefinedgrp-31rplc-56">
    <w:name w:val="cat-UserDefined grp-31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